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60" w:rsidRPr="000332CD" w:rsidRDefault="00022412">
      <w:pPr>
        <w:rPr>
          <w:b/>
          <w:sz w:val="32"/>
          <w:szCs w:val="32"/>
        </w:rPr>
      </w:pPr>
      <w:proofErr w:type="spellStart"/>
      <w:r w:rsidRPr="000332CD">
        <w:rPr>
          <w:b/>
          <w:sz w:val="32"/>
          <w:szCs w:val="32"/>
        </w:rPr>
        <w:t>Umschüttversuche</w:t>
      </w:r>
      <w:proofErr w:type="spellEnd"/>
      <w:r w:rsidR="00FC601B" w:rsidRPr="000332CD">
        <w:rPr>
          <w:b/>
          <w:sz w:val="32"/>
          <w:szCs w:val="32"/>
        </w:rPr>
        <w:t xml:space="preserve"> </w:t>
      </w:r>
      <w:r w:rsidR="00DC6499" w:rsidRPr="000332CD">
        <w:rPr>
          <w:b/>
          <w:sz w:val="32"/>
          <w:szCs w:val="32"/>
        </w:rPr>
        <w:t xml:space="preserve"> </w:t>
      </w:r>
      <w:r w:rsidR="00FC601B" w:rsidRPr="000332CD">
        <w:rPr>
          <w:b/>
          <w:sz w:val="32"/>
          <w:szCs w:val="32"/>
        </w:rPr>
        <w:t>in Klasse 1</w:t>
      </w:r>
    </w:p>
    <w:p w:rsidR="009F58FA" w:rsidRDefault="009F58FA"/>
    <w:tbl>
      <w:tblPr>
        <w:tblStyle w:val="Tabellenraster"/>
        <w:tblW w:w="0" w:type="auto"/>
        <w:tblLook w:val="04A0" w:firstRow="1" w:lastRow="0" w:firstColumn="1" w:lastColumn="0" w:noHBand="0" w:noVBand="1"/>
      </w:tblPr>
      <w:tblGrid>
        <w:gridCol w:w="1622"/>
        <w:gridCol w:w="7658"/>
      </w:tblGrid>
      <w:tr w:rsidR="00A72E85" w:rsidTr="00A72E85">
        <w:tc>
          <w:tcPr>
            <w:tcW w:w="0" w:type="auto"/>
          </w:tcPr>
          <w:p w:rsidR="00A72E85" w:rsidRPr="00DC6499" w:rsidRDefault="00A72E85">
            <w:pPr>
              <w:rPr>
                <w:b/>
              </w:rPr>
            </w:pPr>
            <w:r w:rsidRPr="00DC6499">
              <w:rPr>
                <w:b/>
              </w:rPr>
              <w:t>Thema</w:t>
            </w:r>
          </w:p>
        </w:tc>
        <w:tc>
          <w:tcPr>
            <w:tcW w:w="0" w:type="auto"/>
          </w:tcPr>
          <w:p w:rsidR="00A72E85" w:rsidRDefault="00A72E85">
            <w:r>
              <w:t>Vergleichen von Volumina</w:t>
            </w:r>
          </w:p>
        </w:tc>
      </w:tr>
      <w:tr w:rsidR="00A72E85" w:rsidTr="00A72E85">
        <w:tc>
          <w:tcPr>
            <w:tcW w:w="0" w:type="auto"/>
          </w:tcPr>
          <w:p w:rsidR="00A72E85" w:rsidRPr="00DC6499" w:rsidRDefault="00A72E85">
            <w:pPr>
              <w:rPr>
                <w:b/>
              </w:rPr>
            </w:pPr>
            <w:r w:rsidRPr="00DC6499">
              <w:rPr>
                <w:b/>
              </w:rPr>
              <w:t>Klassenstufe</w:t>
            </w:r>
          </w:p>
        </w:tc>
        <w:tc>
          <w:tcPr>
            <w:tcW w:w="0" w:type="auto"/>
          </w:tcPr>
          <w:p w:rsidR="00A72E85" w:rsidRDefault="00A72E85">
            <w:r>
              <w:t>1</w:t>
            </w:r>
          </w:p>
        </w:tc>
      </w:tr>
      <w:tr w:rsidR="00A72E85" w:rsidTr="00A72E85">
        <w:tc>
          <w:tcPr>
            <w:tcW w:w="0" w:type="auto"/>
          </w:tcPr>
          <w:p w:rsidR="00A72E85" w:rsidRPr="00DC6499" w:rsidRDefault="00A72E85">
            <w:pPr>
              <w:rPr>
                <w:b/>
              </w:rPr>
            </w:pPr>
            <w:r w:rsidRPr="00DC6499">
              <w:rPr>
                <w:b/>
              </w:rPr>
              <w:t>Zeitbedarf</w:t>
            </w:r>
          </w:p>
        </w:tc>
        <w:tc>
          <w:tcPr>
            <w:tcW w:w="0" w:type="auto"/>
          </w:tcPr>
          <w:p w:rsidR="00A72E85" w:rsidRDefault="00A72E85">
            <w:r>
              <w:t>ca. 4 Unterrichtsstunden</w:t>
            </w:r>
          </w:p>
        </w:tc>
      </w:tr>
      <w:tr w:rsidR="00A72E85" w:rsidTr="00A72E85">
        <w:tc>
          <w:tcPr>
            <w:tcW w:w="0" w:type="auto"/>
          </w:tcPr>
          <w:p w:rsidR="00A72E85" w:rsidRPr="00DC6499" w:rsidRDefault="00A72E85">
            <w:pPr>
              <w:rPr>
                <w:b/>
              </w:rPr>
            </w:pPr>
            <w:r w:rsidRPr="00DC6499">
              <w:rPr>
                <w:b/>
              </w:rPr>
              <w:t>Ziele</w:t>
            </w:r>
          </w:p>
        </w:tc>
        <w:tc>
          <w:tcPr>
            <w:tcW w:w="0" w:type="auto"/>
          </w:tcPr>
          <w:p w:rsidR="00A72E85" w:rsidRDefault="00A72E85" w:rsidP="00DC6499">
            <w:pPr>
              <w:pStyle w:val="Listenabsatz"/>
              <w:numPr>
                <w:ilvl w:val="0"/>
                <w:numId w:val="3"/>
              </w:numPr>
              <w:ind w:left="363" w:hanging="284"/>
            </w:pPr>
            <w:r>
              <w:t xml:space="preserve">Größenvorstellungen erweitern, indem Volumina verglichen werden, </w:t>
            </w:r>
            <w:r w:rsidR="00DC6499">
              <w:t xml:space="preserve"> </w:t>
            </w:r>
            <w:r>
              <w:t xml:space="preserve">Erfahrungen </w:t>
            </w:r>
            <w:r w:rsidR="00DC6499">
              <w:t>sammeln bezüglich der Volumeninvarianz</w:t>
            </w:r>
          </w:p>
          <w:p w:rsidR="00DC6499" w:rsidRDefault="00DC6499" w:rsidP="00DC6499">
            <w:pPr>
              <w:pStyle w:val="Listenabsatz"/>
              <w:numPr>
                <w:ilvl w:val="0"/>
                <w:numId w:val="3"/>
              </w:numPr>
              <w:ind w:left="363" w:hanging="284"/>
            </w:pPr>
            <w:r>
              <w:t>Vermutungen zu mathematischen Sachverhalten anstellen, darstellen von Lösungsideen, gemeinsames diskutieren</w:t>
            </w:r>
          </w:p>
        </w:tc>
      </w:tr>
    </w:tbl>
    <w:p w:rsidR="00FC601B" w:rsidRPr="00D32FAA" w:rsidRDefault="00FC601B">
      <w:pPr>
        <w:rPr>
          <w:i/>
        </w:rPr>
      </w:pPr>
    </w:p>
    <w:p w:rsidR="00D32FAA" w:rsidRPr="00D32FAA" w:rsidRDefault="000C2CDA">
      <w:pPr>
        <w:rPr>
          <w:i/>
        </w:rPr>
      </w:pPr>
      <w:r>
        <w:rPr>
          <w:i/>
        </w:rPr>
        <w:t>Nach Piaget erreichen Kinder im Alter von 7 bis 11 Jahren die Phase der konkreten Operati</w:t>
      </w:r>
      <w:r w:rsidR="003F7326">
        <w:rPr>
          <w:i/>
        </w:rPr>
        <w:t>onen und sind somit in der Lage, die Volume</w:t>
      </w:r>
      <w:r>
        <w:rPr>
          <w:i/>
        </w:rPr>
        <w:t xml:space="preserve">ninvarianz zu erkennen. Viele Kinder verfügen also in Klasse 1 noch nicht über diese Fähigkeit, dennoch ergeben sich bei Versuchen dazu vielfältige Möglichkeiten wichtige Erfahrungen im Umgang mit Volumina zu sammeln. Die vorgestellten </w:t>
      </w:r>
      <w:proofErr w:type="spellStart"/>
      <w:r>
        <w:rPr>
          <w:i/>
        </w:rPr>
        <w:t>Umschüttversuche</w:t>
      </w:r>
      <w:proofErr w:type="spellEnd"/>
      <w:r>
        <w:rPr>
          <w:i/>
        </w:rPr>
        <w:t xml:space="preserve"> bieten eine gute Möglichkeit sich mit dieser Thematik auseinanderzusetzen.</w:t>
      </w:r>
    </w:p>
    <w:p w:rsidR="005D5D8B" w:rsidRPr="00D32FAA" w:rsidRDefault="005D5D8B">
      <w:pPr>
        <w:rPr>
          <w:i/>
        </w:rPr>
      </w:pPr>
    </w:p>
    <w:p w:rsidR="003F0584" w:rsidRPr="00A72E85" w:rsidRDefault="003F0584">
      <w:pPr>
        <w:rPr>
          <w:b/>
        </w:rPr>
      </w:pPr>
      <w:r w:rsidRPr="00A72E85">
        <w:rPr>
          <w:b/>
        </w:rPr>
        <w:t>Versuch I</w:t>
      </w:r>
    </w:p>
    <w:p w:rsidR="003F0584" w:rsidRDefault="003F0584">
      <w:r w:rsidRPr="00A72E85">
        <w:rPr>
          <w:i/>
        </w:rPr>
        <w:t>Material:</w:t>
      </w:r>
      <w:r>
        <w:t xml:space="preserve"> 2 gleiche Ausgangsgefäße (z.B. 0,5-l-PET-Flaschen, bei denen der Hals abgeschnitten wird), 1 schmales Gefäß (</w:t>
      </w:r>
      <w:r w:rsidR="003F7326">
        <w:t>z.B. Reagenzglas), 1 breites Gef</w:t>
      </w:r>
      <w:r>
        <w:t>äß (z.B. Blumentopfuntersetzer)</w:t>
      </w:r>
    </w:p>
    <w:p w:rsidR="00787896" w:rsidRDefault="00787896"/>
    <w:p w:rsidR="00787896" w:rsidRPr="00A72E85" w:rsidRDefault="00787896">
      <w:pPr>
        <w:rPr>
          <w:i/>
        </w:rPr>
      </w:pPr>
      <w:r w:rsidRPr="00A72E85">
        <w:rPr>
          <w:i/>
        </w:rPr>
        <w:t>Ablauf:</w:t>
      </w:r>
    </w:p>
    <w:p w:rsidR="00787896" w:rsidRDefault="00787896">
      <w:r>
        <w:t xml:space="preserve">Beide Ausgangsbehältnisse werden mit der gleichen Menge Wasser gefüllt. </w:t>
      </w:r>
      <w:r w:rsidR="003F7326">
        <w:t>Der</w:t>
      </w:r>
      <w:r>
        <w:t xml:space="preserve"> Inhalt des ersten Behältnisses</w:t>
      </w:r>
      <w:r w:rsidR="003F7326">
        <w:t xml:space="preserve"> wird</w:t>
      </w:r>
      <w:r>
        <w:t xml:space="preserve"> in das schmale Ge</w:t>
      </w:r>
      <w:r w:rsidR="003F7326">
        <w:t>fäß und der Inhalt des zweiten</w:t>
      </w:r>
      <w:r>
        <w:t xml:space="preserve"> Behältnisses in das breite Gefäß umgefüllt. Die Kinder werden gefragt in welchem Gefäß mehr Wasser ist.</w:t>
      </w:r>
    </w:p>
    <w:p w:rsidR="00787896" w:rsidRDefault="00787896"/>
    <w:p w:rsidR="00787896" w:rsidRPr="00A72E85" w:rsidRDefault="00787896">
      <w:pPr>
        <w:rPr>
          <w:b/>
        </w:rPr>
      </w:pPr>
      <w:r w:rsidRPr="00A72E85">
        <w:rPr>
          <w:b/>
        </w:rPr>
        <w:t>Versuch II</w:t>
      </w:r>
    </w:p>
    <w:p w:rsidR="00787896" w:rsidRDefault="00787896">
      <w:r w:rsidRPr="00A72E85">
        <w:rPr>
          <w:i/>
        </w:rPr>
        <w:t>Material:</w:t>
      </w:r>
      <w:r>
        <w:t xml:space="preserve"> 2 gleiche Gefäße</w:t>
      </w:r>
    </w:p>
    <w:p w:rsidR="00787896" w:rsidRDefault="00787896"/>
    <w:p w:rsidR="00787896" w:rsidRPr="00A72E85" w:rsidRDefault="00787896">
      <w:pPr>
        <w:rPr>
          <w:i/>
        </w:rPr>
      </w:pPr>
      <w:r w:rsidRPr="00A72E85">
        <w:rPr>
          <w:i/>
        </w:rPr>
        <w:t>Ablauf:</w:t>
      </w:r>
    </w:p>
    <w:p w:rsidR="00787896" w:rsidRDefault="00787896">
      <w:r>
        <w:t>Für diesen Versuch steht eines der Gefäße auf seinem Boden, das zweite Gefäß wird gekippt und mit der Hand festgeh</w:t>
      </w:r>
      <w:r w:rsidR="003F7326">
        <w:t xml:space="preserve">alten. In beide Gefäße wird </w:t>
      </w:r>
      <w:r>
        <w:t>Wasser gefüllt, sodass der Wasserstand gleich hoch ist. Die  Kinder sollen herausfinden in welchem Gefäß mehr Wasser ist.</w:t>
      </w:r>
    </w:p>
    <w:p w:rsidR="003F0584" w:rsidRDefault="003F0584"/>
    <w:p w:rsidR="005D5D8B" w:rsidRPr="000332CD" w:rsidRDefault="00C04656">
      <w:pPr>
        <w:rPr>
          <w:b/>
          <w:sz w:val="28"/>
          <w:szCs w:val="28"/>
        </w:rPr>
      </w:pPr>
      <w:r w:rsidRPr="000332CD">
        <w:rPr>
          <w:b/>
          <w:sz w:val="28"/>
          <w:szCs w:val="28"/>
        </w:rPr>
        <w:t xml:space="preserve">Möglicher </w:t>
      </w:r>
      <w:r w:rsidR="00642891" w:rsidRPr="000332CD">
        <w:rPr>
          <w:b/>
          <w:sz w:val="28"/>
          <w:szCs w:val="28"/>
        </w:rPr>
        <w:t>Ablauf der Unterrichtsreihe</w:t>
      </w:r>
    </w:p>
    <w:p w:rsidR="00C04656" w:rsidRDefault="00C04656">
      <w:pPr>
        <w:rPr>
          <w:b/>
        </w:rPr>
      </w:pPr>
    </w:p>
    <w:p w:rsidR="00FC601B" w:rsidRPr="00A72E85" w:rsidRDefault="00A72E85">
      <w:pPr>
        <w:rPr>
          <w:i/>
        </w:rPr>
      </w:pPr>
      <w:r>
        <w:rPr>
          <w:b/>
        </w:rPr>
        <w:t xml:space="preserve">1. Sequenz </w:t>
      </w:r>
      <w:r w:rsidR="00F155FA">
        <w:t xml:space="preserve"> </w:t>
      </w:r>
      <w:r w:rsidR="00957FD5" w:rsidRPr="00A72E85">
        <w:rPr>
          <w:i/>
        </w:rPr>
        <w:t xml:space="preserve">Wassermengen </w:t>
      </w:r>
      <w:r w:rsidR="003F7326">
        <w:rPr>
          <w:i/>
        </w:rPr>
        <w:t xml:space="preserve">in verschiedenen </w:t>
      </w:r>
      <w:proofErr w:type="spellStart"/>
      <w:r w:rsidR="003F7326">
        <w:rPr>
          <w:i/>
        </w:rPr>
        <w:t>Geß</w:t>
      </w:r>
      <w:r w:rsidR="00957FD5" w:rsidRPr="00A72E85">
        <w:rPr>
          <w:i/>
        </w:rPr>
        <w:t>äßformen</w:t>
      </w:r>
      <w:proofErr w:type="spellEnd"/>
    </w:p>
    <w:p w:rsidR="00A72E85" w:rsidRDefault="00A72E85"/>
    <w:p w:rsidR="00642891" w:rsidRDefault="00642891">
      <w:r>
        <w:t>N</w:t>
      </w:r>
      <w:r w:rsidR="003F7326">
        <w:t xml:space="preserve">achdem die Lehrkraft </w:t>
      </w:r>
      <w:r>
        <w:t xml:space="preserve">den </w:t>
      </w:r>
      <w:proofErr w:type="spellStart"/>
      <w:r>
        <w:t>Umschüttversuch</w:t>
      </w:r>
      <w:proofErr w:type="spellEnd"/>
      <w:r>
        <w:t xml:space="preserve"> (Versuch I) vorgeführt hat, werden die Kinder gefragt in wel</w:t>
      </w:r>
      <w:r w:rsidR="003F7326">
        <w:t xml:space="preserve">chem der beiden Gefäße sich </w:t>
      </w:r>
      <w:r>
        <w:t>mehr Wasser befindet.</w:t>
      </w:r>
      <w:r w:rsidR="003F7326">
        <w:t xml:space="preserve"> Mehrere Kinder können</w:t>
      </w:r>
      <w:r w:rsidR="00F155FA">
        <w:t xml:space="preserve"> </w:t>
      </w:r>
      <w:r w:rsidR="003F7326">
        <w:t xml:space="preserve">ihre Vermutungen </w:t>
      </w:r>
      <w:r w:rsidR="00F155FA">
        <w:t xml:space="preserve">äußern. Mit hoher Wahrscheinlichkeit werden alle 3 </w:t>
      </w:r>
      <w:r w:rsidR="00F155FA">
        <w:lastRenderedPageBreak/>
        <w:t>Möglich</w:t>
      </w:r>
      <w:r w:rsidR="00D533BE">
        <w:t>keiten (Im schmalen  Gefäß ist mehr Wasser, Im breiten Gefäß ist mehr Wasser, In beiden Gefäßen ist gleich viel Wasser) genannt.</w:t>
      </w:r>
    </w:p>
    <w:p w:rsidR="00D533BE" w:rsidRDefault="00D533BE"/>
    <w:p w:rsidR="00D533BE" w:rsidRDefault="00A72E85">
      <w:r>
        <w:rPr>
          <w:b/>
        </w:rPr>
        <w:t xml:space="preserve">2. Sequenz </w:t>
      </w:r>
      <w:r w:rsidR="00957FD5">
        <w:t xml:space="preserve"> D</w:t>
      </w:r>
      <w:r w:rsidR="00957FD5" w:rsidRPr="00A72E85">
        <w:rPr>
          <w:i/>
        </w:rPr>
        <w:t>en Versuch nachvollziehen, diskutieren, argumentieren</w:t>
      </w:r>
    </w:p>
    <w:p w:rsidR="00DC6499" w:rsidRDefault="00DC6499"/>
    <w:p w:rsidR="00957FD5" w:rsidRDefault="00D533BE">
      <w:r>
        <w:t>Die Schüler</w:t>
      </w:r>
      <w:r w:rsidR="003F7326">
        <w:t xml:space="preserve">innen und Schüler werden </w:t>
      </w:r>
      <w:r>
        <w:t>mit den nötigen Materialien in die Gruppenarbeit geschickt. Gemeinsam sollen sie herausfinden welche der v</w:t>
      </w:r>
      <w:r w:rsidR="003F7326">
        <w:t xml:space="preserve">orher gehörten Vermutungen </w:t>
      </w:r>
      <w:r>
        <w:t>stimmt. H</w:t>
      </w:r>
      <w:r w:rsidR="003F7326">
        <w:t xml:space="preserve">ierzu kann der </w:t>
      </w:r>
      <w:r>
        <w:t>Versuch so oft wie nötig wiederholt werden. Denn das Gegenüberstellen der Gefäße, das Rückgängigmachen des Umschüttens</w:t>
      </w:r>
      <w:r w:rsidR="003F7326">
        <w:t>,</w:t>
      </w:r>
      <w:r>
        <w:t xml:space="preserve"> </w:t>
      </w:r>
      <w:proofErr w:type="spellStart"/>
      <w:r>
        <w:t>u.s.w</w:t>
      </w:r>
      <w:proofErr w:type="spellEnd"/>
      <w:r>
        <w:t>. stellt eine wichtige Argumentations- und Erkenntnishilfe für die Kinder dar.</w:t>
      </w:r>
    </w:p>
    <w:p w:rsidR="00C04656" w:rsidRDefault="00C04656"/>
    <w:p w:rsidR="00D533BE" w:rsidRDefault="00A72E85">
      <w:r>
        <w:rPr>
          <w:b/>
        </w:rPr>
        <w:t xml:space="preserve">3. Sequenz </w:t>
      </w:r>
      <w:r w:rsidR="00957FD5">
        <w:t xml:space="preserve"> </w:t>
      </w:r>
      <w:r w:rsidR="00957FD5" w:rsidRPr="00A72E85">
        <w:rPr>
          <w:i/>
        </w:rPr>
        <w:t>Wassermengen in gekippten Gefäßen</w:t>
      </w:r>
    </w:p>
    <w:p w:rsidR="00DC6499" w:rsidRDefault="00DC6499"/>
    <w:p w:rsidR="00132BFB" w:rsidRDefault="00957FD5">
      <w:r>
        <w:t>Die</w:t>
      </w:r>
      <w:r w:rsidR="003F7326">
        <w:t xml:space="preserve"> Lehrkraft führt der Klasse </w:t>
      </w:r>
      <w:r>
        <w:t>einen weiteren Versuch</w:t>
      </w:r>
      <w:r w:rsidR="00132BFB">
        <w:t xml:space="preserve"> (Versuch II)</w:t>
      </w:r>
      <w:r>
        <w:t xml:space="preserve"> vor</w:t>
      </w:r>
      <w:r w:rsidR="003F7326">
        <w:t xml:space="preserve">. Die Kinder sollen </w:t>
      </w:r>
      <w:r w:rsidR="00132BFB">
        <w:t>entscheiden in welchem der Gefäße sich mehr Wasser befindet. Wieder bekommen mehrere Kinder die Möglichkeit ihre Vermutungen zu äußern und zu begründen, auch kann der Versuch selbstständig nachgestellt werden. Das Zurückkippen des gekippten Gefäßes bringt hierbei die Auflösung.</w:t>
      </w:r>
    </w:p>
    <w:p w:rsidR="00957FD5" w:rsidRDefault="00957FD5"/>
    <w:p w:rsidR="00132BFB" w:rsidRDefault="00A72E85">
      <w:r>
        <w:rPr>
          <w:b/>
        </w:rPr>
        <w:t xml:space="preserve">4. Sequenz </w:t>
      </w:r>
      <w:r w:rsidR="00132BFB">
        <w:t xml:space="preserve"> </w:t>
      </w:r>
      <w:r w:rsidR="00132BFB" w:rsidRPr="00A72E85">
        <w:rPr>
          <w:i/>
        </w:rPr>
        <w:t>Erkenntnisse auf andere Gefäße übertragen</w:t>
      </w:r>
    </w:p>
    <w:p w:rsidR="00DC6499" w:rsidRDefault="00DC6499"/>
    <w:p w:rsidR="00132BFB" w:rsidRDefault="00132BFB">
      <w:r>
        <w:t>Die Schüler</w:t>
      </w:r>
      <w:r w:rsidR="003F7326">
        <w:t xml:space="preserve">innen und Schüler bearbeiten </w:t>
      </w:r>
      <w:r w:rsidR="00C04656">
        <w:t>das Arbeitsblatt (M1)</w:t>
      </w:r>
      <w:r>
        <w:t>, bei dem aus 3 gezeichneten Gefäßen zwei auszuwählen sind, in denen gleich viel Wasser ist. Die Erkenntnisse aus den vorher durc</w:t>
      </w:r>
      <w:r w:rsidR="00D32FAA">
        <w:t xml:space="preserve">hgeführten Versuchen müssen nun </w:t>
      </w:r>
      <w:r w:rsidR="00C04656">
        <w:t xml:space="preserve">gedanklich </w:t>
      </w:r>
      <w:r w:rsidR="00D32FAA">
        <w:t>angewandt werden.</w:t>
      </w:r>
    </w:p>
    <w:p w:rsidR="00D32FAA" w:rsidRDefault="00D32FAA"/>
    <w:p w:rsidR="00D32FAA" w:rsidRPr="00132BFB" w:rsidRDefault="00D32FAA">
      <w:pPr>
        <w:rPr>
          <w:caps/>
        </w:rPr>
      </w:pPr>
    </w:p>
    <w:p w:rsidR="00642891" w:rsidRDefault="00642891"/>
    <w:p w:rsidR="009F58FA" w:rsidRDefault="009F58FA">
      <w:r>
        <w:t xml:space="preserve"> </w:t>
      </w:r>
    </w:p>
    <w:p w:rsidR="00C04656" w:rsidRDefault="00C04656"/>
    <w:p w:rsidR="00C04656" w:rsidRDefault="00C04656"/>
    <w:p w:rsidR="00C04656" w:rsidRDefault="00C04656"/>
    <w:p w:rsidR="00C04656" w:rsidRDefault="00C04656"/>
    <w:p w:rsidR="00C04656" w:rsidRDefault="00C04656"/>
    <w:p w:rsidR="00C04656" w:rsidRDefault="00C04656"/>
    <w:p w:rsidR="00C04656" w:rsidRDefault="00C04656"/>
    <w:p w:rsidR="00C04656" w:rsidRDefault="00C04656"/>
    <w:p w:rsidR="00C04656" w:rsidRDefault="00C04656"/>
    <w:p w:rsidR="00C04656" w:rsidRDefault="00C04656"/>
    <w:p w:rsidR="00C04656" w:rsidRDefault="00C04656"/>
    <w:p w:rsidR="00C04656" w:rsidRDefault="00C04656"/>
    <w:p w:rsidR="00C04656" w:rsidRDefault="00C04656"/>
    <w:p w:rsidR="00C04656" w:rsidRDefault="00C04656"/>
    <w:p w:rsidR="00C04656" w:rsidRDefault="00C04656"/>
    <w:p w:rsidR="00C04656" w:rsidRDefault="00C04656"/>
    <w:p w:rsidR="00C04656" w:rsidRDefault="00C04656"/>
    <w:p w:rsidR="00C04656" w:rsidRDefault="00C04656" w:rsidP="00C04656"/>
    <w:p w:rsidR="00C04656" w:rsidRDefault="00C04656" w:rsidP="00C04656">
      <w:pPr>
        <w:rPr>
          <w:rFonts w:asciiTheme="minorHAnsi" w:eastAsiaTheme="minorEastAsia" w:hAnsiTheme="minorHAnsi" w:cstheme="minorBidi"/>
          <w:b/>
          <w:sz w:val="22"/>
          <w:szCs w:val="22"/>
          <w:lang w:eastAsia="en-US"/>
        </w:rPr>
      </w:pPr>
    </w:p>
    <w:p w:rsidR="003F7326" w:rsidRDefault="003F7326" w:rsidP="00C04656">
      <w:pPr>
        <w:rPr>
          <w:rFonts w:asciiTheme="minorHAnsi" w:eastAsiaTheme="minorEastAsia" w:hAnsiTheme="minorHAnsi" w:cstheme="minorBidi"/>
          <w:b/>
          <w:sz w:val="22"/>
          <w:szCs w:val="22"/>
          <w:lang w:eastAsia="en-US"/>
        </w:rPr>
      </w:pPr>
    </w:p>
    <w:p w:rsidR="003F7326" w:rsidRDefault="003F7326" w:rsidP="00C04656">
      <w:pPr>
        <w:rPr>
          <w:rFonts w:asciiTheme="minorHAnsi" w:eastAsiaTheme="minorEastAsia" w:hAnsiTheme="minorHAnsi" w:cstheme="minorBidi"/>
          <w:b/>
          <w:sz w:val="22"/>
          <w:szCs w:val="22"/>
          <w:lang w:eastAsia="en-US"/>
        </w:rPr>
      </w:pPr>
    </w:p>
    <w:p w:rsidR="00C04656" w:rsidRPr="00C04656" w:rsidRDefault="00C04656" w:rsidP="00C04656">
      <w:r w:rsidRPr="00C04656">
        <w:rPr>
          <w:rFonts w:asciiTheme="minorHAnsi" w:eastAsiaTheme="minorEastAsia" w:hAnsiTheme="minorHAnsi" w:cstheme="minorBidi"/>
          <w:b/>
          <w:sz w:val="22"/>
          <w:szCs w:val="22"/>
          <w:lang w:eastAsia="en-US"/>
        </w:rPr>
        <w:lastRenderedPageBreak/>
        <w:t>Aufgabe 1</w:t>
      </w:r>
    </w:p>
    <w:p w:rsidR="00C04656" w:rsidRPr="00C04656" w:rsidRDefault="00C04656" w:rsidP="00C04656">
      <w:pPr>
        <w:ind w:firstLine="360"/>
        <w:rPr>
          <w:rFonts w:asciiTheme="minorHAnsi" w:eastAsiaTheme="minorEastAsia" w:hAnsiTheme="minorHAnsi" w:cstheme="minorBidi"/>
          <w:sz w:val="22"/>
          <w:szCs w:val="22"/>
          <w:lang w:eastAsia="en-US"/>
        </w:rPr>
      </w:pPr>
      <w:r w:rsidRPr="00C04656">
        <w:rPr>
          <w:rFonts w:asciiTheme="minorHAnsi" w:eastAsiaTheme="minorEastAsia" w:hAnsiTheme="minorHAnsi" w:cstheme="minorBidi"/>
          <w:noProof/>
          <w:sz w:val="22"/>
          <w:szCs w:val="22"/>
        </w:rPr>
        <w:drawing>
          <wp:anchor distT="0" distB="0" distL="114300" distR="114300" simplePos="0" relativeHeight="251659264" behindDoc="0" locked="0" layoutInCell="1" allowOverlap="1" wp14:anchorId="77B17375" wp14:editId="6DA75134">
            <wp:simplePos x="0" y="0"/>
            <wp:positionH relativeFrom="column">
              <wp:posOffset>-307340</wp:posOffset>
            </wp:positionH>
            <wp:positionV relativeFrom="paragraph">
              <wp:posOffset>56515</wp:posOffset>
            </wp:positionV>
            <wp:extent cx="5765800" cy="2019300"/>
            <wp:effectExtent l="0" t="0" r="6350" b="0"/>
            <wp:wrapNone/>
            <wp:docPr id="2" name="Grafik 2" descr="public:30 Produktion:P02 Grundschule:GS Mathematik:GS_Mathe_34:04_GS_Mathe_34_Zeichnungen:gsm34_zeichnu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30 Produktion:P02 Grundschule:GS Mathematik:GS_Mathe_34:04_GS_Mathe_34_Zeichnungen:gsm34_zeichnung1.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76580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4656" w:rsidRPr="00C04656" w:rsidRDefault="00C04656" w:rsidP="00C04656">
      <w:pPr>
        <w:ind w:firstLine="360"/>
        <w:rPr>
          <w:rFonts w:asciiTheme="minorHAnsi" w:eastAsiaTheme="minorEastAsia" w:hAnsiTheme="minorHAnsi" w:cstheme="minorBidi"/>
          <w:sz w:val="22"/>
          <w:szCs w:val="22"/>
          <w:lang w:eastAsia="en-US"/>
        </w:rPr>
      </w:pPr>
    </w:p>
    <w:p w:rsidR="00C04656" w:rsidRPr="00C04656" w:rsidRDefault="00C04656" w:rsidP="00C04656">
      <w:pPr>
        <w:ind w:firstLine="360"/>
        <w:rPr>
          <w:rFonts w:asciiTheme="minorHAnsi" w:eastAsiaTheme="minorEastAsia" w:hAnsiTheme="minorHAnsi" w:cstheme="minorBidi"/>
          <w:sz w:val="22"/>
          <w:szCs w:val="22"/>
          <w:lang w:eastAsia="en-US"/>
        </w:rPr>
      </w:pPr>
    </w:p>
    <w:p w:rsidR="00C04656" w:rsidRPr="00C04656" w:rsidRDefault="00C04656" w:rsidP="00C04656">
      <w:pPr>
        <w:ind w:firstLine="360"/>
        <w:rPr>
          <w:rFonts w:asciiTheme="minorHAnsi" w:eastAsiaTheme="minorEastAsia" w:hAnsiTheme="minorHAnsi" w:cstheme="minorBidi"/>
          <w:sz w:val="22"/>
          <w:szCs w:val="22"/>
          <w:lang w:eastAsia="en-US"/>
        </w:rPr>
      </w:pPr>
    </w:p>
    <w:p w:rsidR="00C04656" w:rsidRPr="00C04656" w:rsidRDefault="00C04656" w:rsidP="00C04656">
      <w:pPr>
        <w:ind w:firstLine="360"/>
        <w:rPr>
          <w:rFonts w:asciiTheme="minorHAnsi" w:eastAsiaTheme="minorEastAsia" w:hAnsiTheme="minorHAnsi" w:cstheme="minorBidi"/>
          <w:sz w:val="22"/>
          <w:szCs w:val="22"/>
          <w:lang w:eastAsia="en-US"/>
        </w:rPr>
      </w:pPr>
    </w:p>
    <w:p w:rsidR="00C04656" w:rsidRPr="00C04656" w:rsidRDefault="00C04656" w:rsidP="00C04656">
      <w:pPr>
        <w:ind w:firstLine="360"/>
        <w:rPr>
          <w:rFonts w:asciiTheme="minorHAnsi" w:eastAsiaTheme="minorEastAsia" w:hAnsiTheme="minorHAnsi" w:cstheme="minorBidi"/>
          <w:sz w:val="22"/>
          <w:szCs w:val="22"/>
          <w:lang w:eastAsia="en-US"/>
        </w:rPr>
      </w:pPr>
    </w:p>
    <w:p w:rsidR="00C04656" w:rsidRPr="00C04656" w:rsidRDefault="00C04656" w:rsidP="00C04656">
      <w:pPr>
        <w:ind w:firstLine="360"/>
        <w:rPr>
          <w:rFonts w:asciiTheme="minorHAnsi" w:eastAsiaTheme="minorEastAsia" w:hAnsiTheme="minorHAnsi" w:cstheme="minorBidi"/>
          <w:sz w:val="22"/>
          <w:szCs w:val="22"/>
          <w:lang w:eastAsia="en-US"/>
        </w:rPr>
      </w:pPr>
    </w:p>
    <w:p w:rsidR="00C04656" w:rsidRPr="00C04656" w:rsidRDefault="00C04656" w:rsidP="00C04656">
      <w:pPr>
        <w:ind w:firstLine="360"/>
        <w:rPr>
          <w:rFonts w:asciiTheme="minorHAnsi" w:eastAsiaTheme="minorEastAsia" w:hAnsiTheme="minorHAnsi" w:cstheme="minorBidi"/>
          <w:sz w:val="22"/>
          <w:szCs w:val="22"/>
          <w:lang w:eastAsia="en-US"/>
        </w:rPr>
      </w:pPr>
    </w:p>
    <w:p w:rsidR="00C04656" w:rsidRPr="00C04656" w:rsidRDefault="00C04656" w:rsidP="00C04656">
      <w:pPr>
        <w:ind w:firstLine="360"/>
        <w:rPr>
          <w:rFonts w:asciiTheme="minorHAnsi" w:eastAsiaTheme="minorEastAsia" w:hAnsiTheme="minorHAnsi" w:cstheme="minorBidi"/>
          <w:sz w:val="22"/>
          <w:szCs w:val="22"/>
          <w:lang w:eastAsia="en-US"/>
        </w:rPr>
      </w:pPr>
    </w:p>
    <w:p w:rsidR="00C04656" w:rsidRPr="00C04656" w:rsidRDefault="00C04656" w:rsidP="00C04656">
      <w:pPr>
        <w:ind w:firstLine="360"/>
        <w:rPr>
          <w:rFonts w:asciiTheme="minorHAnsi" w:eastAsiaTheme="minorEastAsia" w:hAnsiTheme="minorHAnsi" w:cstheme="minorBidi"/>
          <w:sz w:val="22"/>
          <w:szCs w:val="22"/>
          <w:lang w:eastAsia="en-US"/>
        </w:rPr>
      </w:pPr>
    </w:p>
    <w:p w:rsidR="00C04656" w:rsidRPr="00C04656" w:rsidRDefault="00C04656" w:rsidP="00C04656">
      <w:pPr>
        <w:ind w:firstLine="360"/>
        <w:rPr>
          <w:rFonts w:asciiTheme="minorHAnsi" w:eastAsiaTheme="minorEastAsia" w:hAnsiTheme="minorHAnsi" w:cstheme="minorBidi"/>
          <w:sz w:val="22"/>
          <w:szCs w:val="22"/>
          <w:lang w:eastAsia="en-US"/>
        </w:rPr>
      </w:pPr>
    </w:p>
    <w:p w:rsidR="00C04656" w:rsidRPr="00C04656" w:rsidRDefault="00C04656" w:rsidP="00C04656">
      <w:pPr>
        <w:rPr>
          <w:rFonts w:asciiTheme="minorHAnsi" w:eastAsiaTheme="minorEastAsia" w:hAnsiTheme="minorHAnsi" w:cstheme="minorBidi"/>
          <w:sz w:val="22"/>
          <w:szCs w:val="22"/>
          <w:lang w:eastAsia="en-US"/>
        </w:rPr>
      </w:pPr>
    </w:p>
    <w:p w:rsidR="00C04656" w:rsidRPr="00C04656" w:rsidRDefault="00C04656" w:rsidP="00C04656">
      <w:pPr>
        <w:rPr>
          <w:rFonts w:asciiTheme="minorHAnsi" w:eastAsiaTheme="minorEastAsia" w:hAnsiTheme="minorHAnsi" w:cstheme="minorBidi"/>
          <w:sz w:val="22"/>
          <w:szCs w:val="22"/>
          <w:lang w:eastAsia="en-US"/>
        </w:rPr>
      </w:pPr>
    </w:p>
    <w:p w:rsidR="00C04656" w:rsidRPr="00C04656" w:rsidRDefault="00C04656" w:rsidP="00C04656">
      <w:pPr>
        <w:rPr>
          <w:rFonts w:asciiTheme="minorHAnsi" w:eastAsiaTheme="minorEastAsia" w:hAnsiTheme="minorHAnsi" w:cstheme="minorBidi"/>
          <w:sz w:val="22"/>
          <w:szCs w:val="22"/>
          <w:lang w:eastAsia="en-US"/>
        </w:rPr>
      </w:pPr>
      <w:r w:rsidRPr="00C04656">
        <w:rPr>
          <w:rFonts w:asciiTheme="minorHAnsi" w:eastAsiaTheme="minorEastAsia" w:hAnsiTheme="minorHAnsi" w:cstheme="minorBidi"/>
          <w:noProof/>
          <w:sz w:val="22"/>
          <w:szCs w:val="22"/>
        </w:rPr>
        <w:drawing>
          <wp:inline distT="0" distB="0" distL="0" distR="0" wp14:anchorId="2632D70F" wp14:editId="07711D10">
            <wp:extent cx="4695190" cy="5334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5190" cy="533400"/>
                    </a:xfrm>
                    <a:prstGeom prst="rect">
                      <a:avLst/>
                    </a:prstGeom>
                    <a:noFill/>
                  </pic:spPr>
                </pic:pic>
              </a:graphicData>
            </a:graphic>
          </wp:inline>
        </w:drawing>
      </w:r>
    </w:p>
    <w:p w:rsidR="00C04656" w:rsidRPr="00C04656" w:rsidRDefault="00C04656" w:rsidP="00C04656">
      <w:pPr>
        <w:rPr>
          <w:rFonts w:asciiTheme="minorHAnsi" w:eastAsiaTheme="minorEastAsia" w:hAnsiTheme="minorHAnsi" w:cstheme="minorBidi"/>
          <w:sz w:val="22"/>
          <w:szCs w:val="22"/>
          <w:lang w:eastAsia="en-US"/>
        </w:rPr>
      </w:pPr>
    </w:p>
    <w:p w:rsidR="00C04656" w:rsidRPr="00C04656" w:rsidRDefault="00C04656" w:rsidP="00C04656">
      <w:pPr>
        <w:rPr>
          <w:rFonts w:asciiTheme="minorHAnsi" w:eastAsiaTheme="minorEastAsia" w:hAnsiTheme="minorHAnsi" w:cstheme="minorBidi"/>
          <w:sz w:val="22"/>
          <w:szCs w:val="22"/>
          <w:lang w:eastAsia="en-US"/>
        </w:rPr>
      </w:pPr>
    </w:p>
    <w:p w:rsidR="00C04656" w:rsidRPr="00C04656" w:rsidRDefault="00C04656" w:rsidP="00C04656">
      <w:pPr>
        <w:rPr>
          <w:rFonts w:asciiTheme="minorHAnsi" w:eastAsiaTheme="minorEastAsia" w:hAnsiTheme="minorHAnsi" w:cstheme="minorBidi"/>
          <w:sz w:val="22"/>
          <w:szCs w:val="22"/>
          <w:lang w:eastAsia="en-US"/>
        </w:rPr>
      </w:pPr>
      <w:r w:rsidRPr="00C04656">
        <w:rPr>
          <w:rFonts w:asciiTheme="minorHAnsi" w:eastAsiaTheme="minorEastAsia" w:hAnsiTheme="minorHAnsi" w:cstheme="minorBidi"/>
          <w:sz w:val="22"/>
          <w:szCs w:val="22"/>
          <w:lang w:eastAsia="en-US"/>
        </w:rPr>
        <w:t>In 2 von den 3 G</w:t>
      </w:r>
      <w:r>
        <w:rPr>
          <w:rFonts w:asciiTheme="minorHAnsi" w:eastAsiaTheme="minorEastAsia" w:hAnsiTheme="minorHAnsi" w:cstheme="minorBidi"/>
          <w:sz w:val="22"/>
          <w:szCs w:val="22"/>
          <w:lang w:eastAsia="en-US"/>
        </w:rPr>
        <w:t xml:space="preserve">efäßen ist gleich viel Wasser. </w:t>
      </w:r>
      <w:r w:rsidRPr="00C04656">
        <w:rPr>
          <w:rFonts w:asciiTheme="minorHAnsi" w:eastAsiaTheme="minorEastAsia" w:hAnsiTheme="minorHAnsi" w:cstheme="minorBidi"/>
          <w:sz w:val="22"/>
          <w:szCs w:val="22"/>
          <w:lang w:eastAsia="en-US"/>
        </w:rPr>
        <w:t xml:space="preserve">Welche sind es? </w:t>
      </w:r>
    </w:p>
    <w:p w:rsidR="00C04656" w:rsidRPr="00C04656" w:rsidRDefault="00C04656" w:rsidP="00C04656">
      <w:pPr>
        <w:rPr>
          <w:rFonts w:asciiTheme="minorHAnsi" w:eastAsiaTheme="minorEastAsia" w:hAnsiTheme="minorHAnsi" w:cstheme="minorBidi"/>
          <w:sz w:val="22"/>
          <w:szCs w:val="22"/>
          <w:lang w:eastAsia="en-US"/>
        </w:rPr>
      </w:pPr>
      <w:r w:rsidRPr="00C04656">
        <w:rPr>
          <w:rFonts w:asciiTheme="minorHAnsi" w:eastAsiaTheme="minorEastAsia" w:hAnsiTheme="minorHAnsi" w:cstheme="minorBidi"/>
          <w:sz w:val="22"/>
          <w:szCs w:val="22"/>
          <w:lang w:eastAsia="en-US"/>
        </w:rPr>
        <w:t xml:space="preserve">Kreuze sie an und begründe deine Entscheidung! </w:t>
      </w:r>
    </w:p>
    <w:p w:rsidR="00C04656" w:rsidRPr="00C04656" w:rsidRDefault="00C04656" w:rsidP="00C04656">
      <w:pPr>
        <w:rPr>
          <w:rFonts w:asciiTheme="minorHAnsi" w:eastAsiaTheme="minorEastAsia" w:hAnsiTheme="minorHAnsi" w:cstheme="minorBidi"/>
          <w:sz w:val="22"/>
          <w:szCs w:val="22"/>
          <w:lang w:eastAsia="en-US"/>
        </w:rPr>
      </w:pPr>
    </w:p>
    <w:p w:rsidR="00C04656" w:rsidRPr="00C04656" w:rsidRDefault="00C04656" w:rsidP="00C04656">
      <w:pPr>
        <w:rPr>
          <w:rFonts w:asciiTheme="minorHAnsi" w:eastAsiaTheme="minorEastAsia" w:hAnsiTheme="minorHAnsi" w:cstheme="minorBidi"/>
          <w:b/>
          <w:sz w:val="22"/>
          <w:szCs w:val="22"/>
          <w:lang w:eastAsia="en-US"/>
        </w:rPr>
      </w:pPr>
      <w:r w:rsidRPr="00C04656">
        <w:rPr>
          <w:rFonts w:asciiTheme="minorHAnsi" w:eastAsiaTheme="minorEastAsia" w:hAnsiTheme="minorHAnsi" w:cstheme="minorBidi"/>
          <w:b/>
          <w:sz w:val="22"/>
          <w:szCs w:val="22"/>
          <w:lang w:eastAsia="en-US"/>
        </w:rPr>
        <w:t>Aufgabe 2</w:t>
      </w:r>
    </w:p>
    <w:p w:rsidR="00C04656" w:rsidRPr="00C04656" w:rsidRDefault="00C04656" w:rsidP="00C04656">
      <w:pPr>
        <w:rPr>
          <w:rFonts w:asciiTheme="minorHAnsi" w:eastAsiaTheme="minorEastAsia" w:hAnsiTheme="minorHAnsi" w:cstheme="minorBidi"/>
          <w:b/>
          <w:sz w:val="22"/>
          <w:szCs w:val="22"/>
          <w:lang w:eastAsia="en-US"/>
        </w:rPr>
      </w:pPr>
    </w:p>
    <w:p w:rsidR="00C04656" w:rsidRPr="00C04656" w:rsidRDefault="00C04656" w:rsidP="00C04656">
      <w:pPr>
        <w:rPr>
          <w:rFonts w:asciiTheme="minorHAnsi" w:eastAsiaTheme="minorEastAsia" w:hAnsiTheme="minorHAnsi" w:cstheme="minorBidi"/>
          <w:b/>
          <w:sz w:val="22"/>
          <w:szCs w:val="22"/>
          <w:lang w:eastAsia="en-US"/>
        </w:rPr>
      </w:pPr>
      <w:r w:rsidRPr="00C04656">
        <w:rPr>
          <w:rFonts w:asciiTheme="minorHAnsi" w:eastAsiaTheme="minorEastAsia" w:hAnsiTheme="minorHAnsi" w:cstheme="minorBidi"/>
          <w:b/>
          <w:noProof/>
          <w:sz w:val="22"/>
          <w:szCs w:val="22"/>
        </w:rPr>
        <w:drawing>
          <wp:anchor distT="0" distB="0" distL="114300" distR="114300" simplePos="0" relativeHeight="251660288" behindDoc="0" locked="0" layoutInCell="1" allowOverlap="1" wp14:anchorId="59A3E9CC" wp14:editId="004D2ED9">
            <wp:simplePos x="0" y="0"/>
            <wp:positionH relativeFrom="column">
              <wp:posOffset>1282700</wp:posOffset>
            </wp:positionH>
            <wp:positionV relativeFrom="paragraph">
              <wp:posOffset>6769100</wp:posOffset>
            </wp:positionV>
            <wp:extent cx="5669280" cy="1788160"/>
            <wp:effectExtent l="0" t="0" r="7620" b="2540"/>
            <wp:wrapNone/>
            <wp:docPr id="4" name="Grafik 4" descr="public:30 Produktion:P02 Grundschule:GS Mathematik:GS_Mathe_34:04_GS_Mathe_34_Zeichnungen:gsm34_zeichnu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c:30 Produktion:P02 Grundschule:GS Mathematik:GS_Mathe_34:04_GS_Mathe_34_Zeichnungen:gsm34_zeichnung2.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669280" cy="178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4656" w:rsidRPr="00C04656" w:rsidRDefault="00C04656" w:rsidP="00C04656">
      <w:pPr>
        <w:rPr>
          <w:rFonts w:asciiTheme="minorHAnsi" w:eastAsiaTheme="minorEastAsia" w:hAnsiTheme="minorHAnsi" w:cstheme="minorBidi"/>
          <w:b/>
          <w:sz w:val="22"/>
          <w:szCs w:val="22"/>
          <w:lang w:eastAsia="en-US"/>
        </w:rPr>
      </w:pPr>
    </w:p>
    <w:p w:rsidR="00C04656" w:rsidRPr="00C04656" w:rsidRDefault="00266382" w:rsidP="00C04656">
      <w:pPr>
        <w:rPr>
          <w:rFonts w:asciiTheme="minorHAnsi" w:eastAsiaTheme="minorEastAsia" w:hAnsiTheme="minorHAnsi" w:cstheme="minorBidi"/>
          <w:b/>
          <w:sz w:val="22"/>
          <w:szCs w:val="22"/>
          <w:lang w:eastAsia="en-US"/>
        </w:rPr>
      </w:pPr>
      <w:r w:rsidRPr="00C04656">
        <w:rPr>
          <w:rFonts w:asciiTheme="minorHAnsi" w:eastAsiaTheme="minorEastAsia" w:hAnsiTheme="minorHAnsi" w:cstheme="minorBidi"/>
          <w:b/>
          <w:noProof/>
          <w:sz w:val="22"/>
          <w:szCs w:val="22"/>
        </w:rPr>
        <w:drawing>
          <wp:anchor distT="0" distB="0" distL="114300" distR="114300" simplePos="0" relativeHeight="251662336" behindDoc="1" locked="0" layoutInCell="1" allowOverlap="1" wp14:anchorId="6DF2883E" wp14:editId="0C619CA0">
            <wp:simplePos x="0" y="0"/>
            <wp:positionH relativeFrom="column">
              <wp:posOffset>-131858</wp:posOffset>
            </wp:positionH>
            <wp:positionV relativeFrom="paragraph">
              <wp:posOffset>23495</wp:posOffset>
            </wp:positionV>
            <wp:extent cx="5420995" cy="1718945"/>
            <wp:effectExtent l="0" t="0" r="825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0995" cy="1718945"/>
                    </a:xfrm>
                    <a:prstGeom prst="rect">
                      <a:avLst/>
                    </a:prstGeom>
                    <a:noFill/>
                  </pic:spPr>
                </pic:pic>
              </a:graphicData>
            </a:graphic>
            <wp14:sizeRelH relativeFrom="page">
              <wp14:pctWidth>0</wp14:pctWidth>
            </wp14:sizeRelH>
            <wp14:sizeRelV relativeFrom="page">
              <wp14:pctHeight>0</wp14:pctHeight>
            </wp14:sizeRelV>
          </wp:anchor>
        </w:drawing>
      </w:r>
    </w:p>
    <w:p w:rsidR="00C04656" w:rsidRPr="00C04656" w:rsidRDefault="00C04656" w:rsidP="00C04656">
      <w:pPr>
        <w:ind w:firstLine="360"/>
        <w:rPr>
          <w:rFonts w:asciiTheme="minorHAnsi" w:eastAsiaTheme="minorEastAsia" w:hAnsiTheme="minorHAnsi" w:cstheme="minorBidi"/>
          <w:sz w:val="22"/>
          <w:szCs w:val="22"/>
          <w:lang w:eastAsia="en-US"/>
        </w:rPr>
      </w:pPr>
    </w:p>
    <w:p w:rsidR="00C04656" w:rsidRPr="00C04656" w:rsidRDefault="00C04656" w:rsidP="00C04656">
      <w:pPr>
        <w:ind w:firstLine="360"/>
        <w:rPr>
          <w:rFonts w:asciiTheme="minorHAnsi" w:eastAsiaTheme="minorEastAsia" w:hAnsiTheme="minorHAnsi" w:cstheme="minorBidi"/>
          <w:sz w:val="22"/>
          <w:szCs w:val="22"/>
          <w:lang w:eastAsia="en-US"/>
        </w:rPr>
      </w:pPr>
    </w:p>
    <w:p w:rsidR="00C04656" w:rsidRPr="00C04656" w:rsidRDefault="00C04656" w:rsidP="00C04656">
      <w:pPr>
        <w:ind w:firstLine="360"/>
        <w:rPr>
          <w:rFonts w:asciiTheme="minorHAnsi" w:eastAsiaTheme="minorEastAsia" w:hAnsiTheme="minorHAnsi" w:cstheme="minorBidi"/>
          <w:sz w:val="22"/>
          <w:szCs w:val="22"/>
          <w:lang w:eastAsia="en-US"/>
        </w:rPr>
      </w:pPr>
    </w:p>
    <w:p w:rsidR="00C04656" w:rsidRPr="00C04656" w:rsidRDefault="00C04656" w:rsidP="00C04656">
      <w:pPr>
        <w:ind w:firstLine="360"/>
        <w:rPr>
          <w:rFonts w:asciiTheme="minorHAnsi" w:eastAsiaTheme="minorEastAsia" w:hAnsiTheme="minorHAnsi" w:cstheme="minorBidi"/>
          <w:sz w:val="22"/>
          <w:szCs w:val="22"/>
          <w:lang w:eastAsia="en-US"/>
        </w:rPr>
      </w:pPr>
    </w:p>
    <w:p w:rsidR="00C04656" w:rsidRPr="00C04656" w:rsidRDefault="00C04656" w:rsidP="00C04656">
      <w:pPr>
        <w:ind w:firstLine="360"/>
        <w:rPr>
          <w:rFonts w:asciiTheme="minorHAnsi" w:eastAsiaTheme="minorEastAsia" w:hAnsiTheme="minorHAnsi" w:cstheme="minorBidi"/>
          <w:sz w:val="22"/>
          <w:szCs w:val="22"/>
          <w:lang w:eastAsia="en-US"/>
        </w:rPr>
      </w:pPr>
    </w:p>
    <w:p w:rsidR="00C04656" w:rsidRDefault="00C04656" w:rsidP="00C04656">
      <w:pPr>
        <w:ind w:firstLine="360"/>
        <w:rPr>
          <w:rFonts w:asciiTheme="minorHAnsi" w:eastAsiaTheme="minorEastAsia" w:hAnsiTheme="minorHAnsi" w:cstheme="minorBidi"/>
          <w:sz w:val="22"/>
          <w:szCs w:val="22"/>
          <w:lang w:eastAsia="en-US"/>
        </w:rPr>
      </w:pPr>
    </w:p>
    <w:p w:rsidR="003F7326" w:rsidRDefault="003F7326" w:rsidP="00C04656">
      <w:pPr>
        <w:ind w:firstLine="360"/>
        <w:rPr>
          <w:rFonts w:asciiTheme="minorHAnsi" w:eastAsiaTheme="minorEastAsia" w:hAnsiTheme="minorHAnsi" w:cstheme="minorBidi"/>
          <w:sz w:val="22"/>
          <w:szCs w:val="22"/>
          <w:lang w:eastAsia="en-US"/>
        </w:rPr>
      </w:pPr>
    </w:p>
    <w:p w:rsidR="003F7326" w:rsidRDefault="003F7326" w:rsidP="00C04656">
      <w:pPr>
        <w:ind w:firstLine="360"/>
        <w:rPr>
          <w:rFonts w:asciiTheme="minorHAnsi" w:eastAsiaTheme="minorEastAsia" w:hAnsiTheme="minorHAnsi" w:cstheme="minorBidi"/>
          <w:sz w:val="22"/>
          <w:szCs w:val="22"/>
          <w:lang w:eastAsia="en-US"/>
        </w:rPr>
      </w:pPr>
    </w:p>
    <w:p w:rsidR="003F7326" w:rsidRDefault="003F7326" w:rsidP="00C04656">
      <w:pPr>
        <w:ind w:firstLine="360"/>
        <w:rPr>
          <w:rFonts w:asciiTheme="minorHAnsi" w:eastAsiaTheme="minorEastAsia" w:hAnsiTheme="minorHAnsi" w:cstheme="minorBidi"/>
          <w:sz w:val="22"/>
          <w:szCs w:val="22"/>
          <w:lang w:eastAsia="en-US"/>
        </w:rPr>
      </w:pPr>
    </w:p>
    <w:p w:rsidR="003F7326" w:rsidRDefault="00266382" w:rsidP="00C04656">
      <w:pPr>
        <w:ind w:firstLine="360"/>
        <w:rPr>
          <w:rFonts w:asciiTheme="minorHAnsi" w:eastAsiaTheme="minorEastAsia" w:hAnsiTheme="minorHAnsi" w:cstheme="minorBidi"/>
          <w:sz w:val="22"/>
          <w:szCs w:val="22"/>
          <w:lang w:eastAsia="en-US"/>
        </w:rPr>
      </w:pPr>
      <w:r w:rsidRPr="00C04656">
        <w:rPr>
          <w:rFonts w:asciiTheme="minorHAnsi" w:eastAsiaTheme="minorEastAsia" w:hAnsiTheme="minorHAnsi" w:cstheme="minorBidi"/>
          <w:b/>
          <w:noProof/>
          <w:sz w:val="22"/>
          <w:szCs w:val="22"/>
        </w:rPr>
        <mc:AlternateContent>
          <mc:Choice Requires="wpg">
            <w:drawing>
              <wp:anchor distT="0" distB="0" distL="114300" distR="114300" simplePos="0" relativeHeight="251664384" behindDoc="1" locked="0" layoutInCell="1" allowOverlap="1" wp14:anchorId="17C87D7C" wp14:editId="0182CCA7">
                <wp:simplePos x="0" y="0"/>
                <wp:positionH relativeFrom="column">
                  <wp:posOffset>-4571365</wp:posOffset>
                </wp:positionH>
                <wp:positionV relativeFrom="paragraph">
                  <wp:posOffset>145415</wp:posOffset>
                </wp:positionV>
                <wp:extent cx="4448175" cy="531495"/>
                <wp:effectExtent l="0" t="0" r="28575" b="20955"/>
                <wp:wrapTight wrapText="bothSides">
                  <wp:wrapPolygon edited="0">
                    <wp:start x="0" y="0"/>
                    <wp:lineTo x="0" y="21677"/>
                    <wp:lineTo x="21646" y="21677"/>
                    <wp:lineTo x="21646" y="0"/>
                    <wp:lineTo x="0" y="0"/>
                  </wp:wrapPolygon>
                </wp:wrapTight>
                <wp:docPr id="5" name="Gruppieren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175" cy="531495"/>
                          <a:chOff x="2519" y="13962"/>
                          <a:chExt cx="7350" cy="794"/>
                        </a:xfrm>
                      </wpg:grpSpPr>
                      <wps:wsp>
                        <wps:cNvPr id="6" name="Rectangle 7"/>
                        <wps:cNvSpPr>
                          <a:spLocks noChangeArrowheads="1"/>
                        </wps:cNvSpPr>
                        <wps:spPr bwMode="auto">
                          <a:xfrm>
                            <a:off x="2519" y="13962"/>
                            <a:ext cx="794" cy="7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8"/>
                        <wps:cNvSpPr>
                          <a:spLocks noChangeArrowheads="1"/>
                        </wps:cNvSpPr>
                        <wps:spPr bwMode="auto">
                          <a:xfrm>
                            <a:off x="9075" y="13962"/>
                            <a:ext cx="794" cy="7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9"/>
                        <wps:cNvSpPr>
                          <a:spLocks noChangeArrowheads="1"/>
                        </wps:cNvSpPr>
                        <wps:spPr bwMode="auto">
                          <a:xfrm>
                            <a:off x="5607" y="13962"/>
                            <a:ext cx="794" cy="7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5" o:spid="_x0000_s1026" style="position:absolute;margin-left:-359.95pt;margin-top:11.45pt;width:350.25pt;height:41.85pt;z-index:-251652096" coordorigin="2519,13962" coordsize="7350,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">
                <v:rect id="Rectangle 7" o:spid="_x0000_s1027" style="position:absolute;left:2519;top:13962;width:794;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8" o:spid="_x0000_s1028" style="position:absolute;left:9075;top:13962;width:794;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9" o:spid="_x0000_s1029" style="position:absolute;left:5607;top:13962;width:794;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w10:wrap type="tight"/>
              </v:group>
            </w:pict>
          </mc:Fallback>
        </mc:AlternateContent>
      </w:r>
    </w:p>
    <w:p w:rsidR="003F7326" w:rsidRDefault="003F7326" w:rsidP="00C04656">
      <w:pPr>
        <w:ind w:firstLine="360"/>
        <w:rPr>
          <w:rFonts w:asciiTheme="minorHAnsi" w:eastAsiaTheme="minorEastAsia" w:hAnsiTheme="minorHAnsi" w:cstheme="minorBidi"/>
          <w:sz w:val="22"/>
          <w:szCs w:val="22"/>
          <w:lang w:eastAsia="en-US"/>
        </w:rPr>
      </w:pPr>
    </w:p>
    <w:p w:rsidR="003F7326" w:rsidRDefault="003F7326" w:rsidP="00C04656">
      <w:pPr>
        <w:ind w:firstLine="360"/>
        <w:rPr>
          <w:rFonts w:asciiTheme="minorHAnsi" w:eastAsiaTheme="minorEastAsia" w:hAnsiTheme="minorHAnsi" w:cstheme="minorBidi"/>
          <w:sz w:val="22"/>
          <w:szCs w:val="22"/>
          <w:lang w:eastAsia="en-US"/>
        </w:rPr>
      </w:pPr>
    </w:p>
    <w:p w:rsidR="003F7326" w:rsidRDefault="003F7326" w:rsidP="00C04656">
      <w:pPr>
        <w:ind w:firstLine="360"/>
        <w:rPr>
          <w:rFonts w:asciiTheme="minorHAnsi" w:eastAsiaTheme="minorEastAsia" w:hAnsiTheme="minorHAnsi" w:cstheme="minorBidi"/>
          <w:sz w:val="22"/>
          <w:szCs w:val="22"/>
          <w:lang w:eastAsia="en-US"/>
        </w:rPr>
      </w:pPr>
      <w:bookmarkStart w:id="0" w:name="_GoBack"/>
      <w:bookmarkEnd w:id="0"/>
    </w:p>
    <w:p w:rsidR="003F7326" w:rsidRDefault="003F7326" w:rsidP="00C04656">
      <w:pPr>
        <w:ind w:firstLine="360"/>
        <w:rPr>
          <w:rFonts w:asciiTheme="minorHAnsi" w:eastAsiaTheme="minorEastAsia" w:hAnsiTheme="minorHAnsi" w:cstheme="minorBidi"/>
          <w:sz w:val="22"/>
          <w:szCs w:val="22"/>
          <w:lang w:eastAsia="en-US"/>
        </w:rPr>
      </w:pPr>
    </w:p>
    <w:p w:rsidR="003F7326" w:rsidRDefault="003F7326" w:rsidP="00C04656">
      <w:pPr>
        <w:ind w:firstLine="360"/>
        <w:rPr>
          <w:rFonts w:asciiTheme="minorHAnsi" w:eastAsiaTheme="minorEastAsia" w:hAnsiTheme="minorHAnsi" w:cstheme="minorBidi"/>
          <w:sz w:val="22"/>
          <w:szCs w:val="22"/>
          <w:lang w:eastAsia="en-US"/>
        </w:rPr>
      </w:pPr>
    </w:p>
    <w:p w:rsidR="00C04656" w:rsidRPr="00C04656" w:rsidRDefault="00C04656" w:rsidP="00C04656">
      <w:pPr>
        <w:ind w:firstLine="360"/>
        <w:rPr>
          <w:rFonts w:asciiTheme="minorHAnsi" w:eastAsiaTheme="minorEastAsia" w:hAnsiTheme="minorHAnsi" w:cstheme="minorBidi"/>
          <w:sz w:val="22"/>
          <w:szCs w:val="22"/>
          <w:lang w:eastAsia="en-US"/>
        </w:rPr>
      </w:pPr>
      <w:r w:rsidRPr="00C04656">
        <w:rPr>
          <w:rFonts w:asciiTheme="minorHAnsi" w:eastAsiaTheme="minorEastAsia" w:hAnsiTheme="minorHAnsi" w:cstheme="minorBidi"/>
          <w:sz w:val="22"/>
          <w:szCs w:val="22"/>
          <w:lang w:eastAsia="en-US"/>
        </w:rPr>
        <w:t>Auch hier sind wieder 2 Gefäße mit gleich viel Wasser gefüllt.</w:t>
      </w:r>
      <w:r>
        <w:rPr>
          <w:rFonts w:asciiTheme="minorHAnsi" w:eastAsiaTheme="minorEastAsia" w:hAnsiTheme="minorHAnsi" w:cstheme="minorBidi"/>
          <w:sz w:val="22"/>
          <w:szCs w:val="22"/>
          <w:lang w:eastAsia="en-US"/>
        </w:rPr>
        <w:t xml:space="preserve"> </w:t>
      </w:r>
      <w:r w:rsidRPr="00C04656">
        <w:rPr>
          <w:rFonts w:asciiTheme="minorHAnsi" w:eastAsiaTheme="minorEastAsia" w:hAnsiTheme="minorHAnsi" w:cstheme="minorBidi"/>
          <w:sz w:val="22"/>
          <w:szCs w:val="22"/>
          <w:lang w:eastAsia="en-US"/>
        </w:rPr>
        <w:t>Welche sind es?</w:t>
      </w:r>
    </w:p>
    <w:p w:rsidR="00C04656" w:rsidRPr="00C04656" w:rsidRDefault="00C04656" w:rsidP="00C04656">
      <w:pPr>
        <w:ind w:firstLine="360"/>
        <w:rPr>
          <w:rFonts w:asciiTheme="minorHAnsi" w:eastAsiaTheme="minorEastAsia" w:hAnsiTheme="minorHAnsi" w:cstheme="minorBidi"/>
          <w:sz w:val="22"/>
          <w:szCs w:val="22"/>
          <w:lang w:eastAsia="en-US"/>
        </w:rPr>
      </w:pPr>
      <w:r w:rsidRPr="00C04656">
        <w:rPr>
          <w:rFonts w:asciiTheme="minorHAnsi" w:eastAsiaTheme="minorEastAsia" w:hAnsiTheme="minorHAnsi" w:cstheme="minorBidi"/>
          <w:sz w:val="22"/>
          <w:szCs w:val="22"/>
          <w:lang w:eastAsia="en-US"/>
        </w:rPr>
        <w:t>Kreuze an und begründe deine Entscheidung!</w:t>
      </w:r>
    </w:p>
    <w:p w:rsidR="00C04656" w:rsidRDefault="00C04656"/>
    <w:p w:rsidR="00C04656" w:rsidRDefault="00C04656"/>
    <w:p w:rsidR="00C04656" w:rsidRDefault="00C04656"/>
    <w:p w:rsidR="00C04656" w:rsidRDefault="00C04656"/>
    <w:p w:rsidR="00C04656" w:rsidRDefault="00C04656"/>
    <w:p w:rsidR="00C04656" w:rsidRDefault="00C04656"/>
    <w:p w:rsidR="00C04656" w:rsidRDefault="00C04656"/>
    <w:p w:rsidR="00C04656" w:rsidRDefault="00C04656"/>
    <w:p w:rsidR="00C04656" w:rsidRDefault="00C04656"/>
    <w:sectPr w:rsidR="00C04656" w:rsidSect="0099135A">
      <w:headerReference w:type="even" r:id="rId15"/>
      <w:headerReference w:type="default" r:id="rId16"/>
      <w:footerReference w:type="default" r:id="rId17"/>
      <w:pgSz w:w="11900" w:h="16840"/>
      <w:pgMar w:top="167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D7B" w:rsidRDefault="009F4D7B" w:rsidP="00830CAD">
      <w:r>
        <w:separator/>
      </w:r>
    </w:p>
  </w:endnote>
  <w:endnote w:type="continuationSeparator" w:id="0">
    <w:p w:rsidR="009F4D7B" w:rsidRDefault="009F4D7B" w:rsidP="0083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3E3" w:rsidRDefault="007F63E3">
    <w:pPr>
      <w:pStyle w:val="Fuzeile"/>
    </w:pPr>
  </w:p>
  <w:p w:rsidR="007F63E3" w:rsidRPr="007F63E3" w:rsidRDefault="007F63E3" w:rsidP="007F63E3">
    <w:pPr>
      <w:widowControl w:val="0"/>
      <w:autoSpaceDE w:val="0"/>
      <w:autoSpaceDN w:val="0"/>
      <w:adjustRightInd w:val="0"/>
      <w:spacing w:after="240"/>
      <w:rPr>
        <w:rFonts w:ascii="Times" w:hAnsi="Times" w:cs="Times"/>
      </w:rPr>
    </w:pPr>
    <w:r>
      <w:tab/>
    </w:r>
    <w:r w:rsidR="00D84F73">
      <w:rPr>
        <w:rFonts w:ascii="Arial" w:hAnsi="Arial" w:cs="Arial"/>
      </w:rPr>
      <w:tab/>
    </w:r>
    <w:r w:rsidR="00D84F73">
      <w:rPr>
        <w:rFonts w:ascii="Arial" w:hAnsi="Arial" w:cs="Arial"/>
      </w:rPr>
      <w:tab/>
    </w:r>
    <w:r w:rsidRPr="008D1BF8">
      <w:rPr>
        <w:rFonts w:asciiTheme="majorHAnsi" w:hAnsiTheme="majorHAnsi" w:cs="Arial"/>
      </w:rPr>
      <w:t>©</w:t>
    </w:r>
    <w:r w:rsidR="000F3D8E" w:rsidRPr="008D1BF8">
      <w:rPr>
        <w:rFonts w:asciiTheme="majorHAnsi" w:hAnsiTheme="majorHAnsi" w:cs="Arial"/>
      </w:rPr>
      <w:t xml:space="preserve"> </w:t>
    </w:r>
    <w:proofErr w:type="spellStart"/>
    <w:r w:rsidRPr="008D1BF8">
      <w:rPr>
        <w:rFonts w:asciiTheme="majorHAnsi" w:hAnsiTheme="majorHAnsi" w:cs="Arial"/>
      </w:rPr>
      <w:t>primakom</w:t>
    </w:r>
    <w:proofErr w:type="spellEnd"/>
    <w:r w:rsidR="000F3D8E" w:rsidRPr="008D1BF8">
      <w:rPr>
        <w:rFonts w:asciiTheme="majorHAnsi" w:hAnsiTheme="majorHAnsi" w:cs="Arial"/>
      </w:rPr>
      <w:t xml:space="preserve"> </w:t>
    </w:r>
    <w:r w:rsidRPr="008D1BF8">
      <w:rPr>
        <w:rFonts w:asciiTheme="majorHAnsi" w:hAnsiTheme="majorHAnsi" w:cs="Arial"/>
      </w:rPr>
      <w:t>2014</w:t>
    </w:r>
    <w:r w:rsidR="000F3D8E">
      <w:rPr>
        <w:rFonts w:ascii="Arial" w:hAnsi="Arial" w:cs="Arial"/>
      </w:rPr>
      <w:t xml:space="preserve"> </w:t>
    </w:r>
    <w:r>
      <w:rPr>
        <w:rFonts w:ascii="Arial" w:hAnsi="Arial" w:cs="Arial"/>
      </w:rPr>
      <w:t>(</w:t>
    </w:r>
    <w:hyperlink r:id="rId1" w:history="1">
      <w:r w:rsidRPr="002D7441">
        <w:rPr>
          <w:rStyle w:val="Hyperlink"/>
        </w:rPr>
        <w:t>http://primakom.dzlm.de</w:t>
      </w:r>
    </w:hyperlink>
    <w:r>
      <w:t>)</w:t>
    </w:r>
    <w:r>
      <w:tab/>
    </w:r>
    <w:r>
      <w:tab/>
    </w:r>
    <w:r w:rsidR="00D84F73">
      <w:tab/>
    </w:r>
    <w:r>
      <w:rPr>
        <w:rStyle w:val="Seitenzahl"/>
      </w:rPr>
      <w:fldChar w:fldCharType="begin"/>
    </w:r>
    <w:r>
      <w:rPr>
        <w:rStyle w:val="Seitenzahl"/>
      </w:rPr>
      <w:instrText xml:space="preserve"> </w:instrText>
    </w:r>
    <w:r w:rsidR="00B50DE1">
      <w:rPr>
        <w:rStyle w:val="Seitenzahl"/>
      </w:rPr>
      <w:instrText>PAGE</w:instrText>
    </w:r>
    <w:r>
      <w:rPr>
        <w:rStyle w:val="Seitenzahl"/>
      </w:rPr>
      <w:instrText xml:space="preserve"> </w:instrText>
    </w:r>
    <w:r>
      <w:rPr>
        <w:rStyle w:val="Seitenzahl"/>
      </w:rPr>
      <w:fldChar w:fldCharType="separate"/>
    </w:r>
    <w:r w:rsidR="00266382">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D7B" w:rsidRDefault="009F4D7B" w:rsidP="00830CAD">
      <w:r>
        <w:separator/>
      </w:r>
    </w:p>
  </w:footnote>
  <w:footnote w:type="continuationSeparator" w:id="0">
    <w:p w:rsidR="009F4D7B" w:rsidRDefault="009F4D7B" w:rsidP="00830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3635"/>
      <w:gridCol w:w="2095"/>
      <w:gridCol w:w="3433"/>
    </w:tblGrid>
    <w:tr w:rsidR="007F63E3" w:rsidRPr="00D84F73" w:rsidTr="00D84F73">
      <w:trPr>
        <w:trHeight w:val="151"/>
      </w:trPr>
      <w:tc>
        <w:tcPr>
          <w:tcW w:w="2389"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c>
        <w:tcPr>
          <w:tcW w:w="333" w:type="pct"/>
          <w:vMerge w:val="restart"/>
          <w:noWrap/>
          <w:vAlign w:val="center"/>
          <w:hideMark/>
        </w:tcPr>
        <w:p w:rsidR="007F63E3" w:rsidRPr="00D84F73" w:rsidRDefault="007F63E3">
          <w:pPr>
            <w:pStyle w:val="MittleresRaster21"/>
            <w:rPr>
              <w:rFonts w:ascii="Cambria" w:hAnsi="Cambria"/>
              <w:color w:val="4F81BD"/>
              <w:szCs w:val="20"/>
            </w:rPr>
          </w:pPr>
          <w:r w:rsidRPr="00D84F73">
            <w:rPr>
              <w:rFonts w:ascii="Cambria" w:hAnsi="Cambria"/>
              <w:color w:val="4F81BD"/>
            </w:rPr>
            <w:t>[Geben Sie Text ein]</w:t>
          </w:r>
        </w:p>
      </w:tc>
      <w:tc>
        <w:tcPr>
          <w:tcW w:w="2278"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r>
    <w:tr w:rsidR="007F63E3" w:rsidRPr="00D84F73" w:rsidTr="00D84F73">
      <w:trPr>
        <w:trHeight w:val="150"/>
      </w:trPr>
      <w:tc>
        <w:tcPr>
          <w:tcW w:w="2389"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c>
        <w:tcPr>
          <w:tcW w:w="0" w:type="auto"/>
          <w:vMerge/>
          <w:vAlign w:val="center"/>
          <w:hideMark/>
        </w:tcPr>
        <w:p w:rsidR="007F63E3" w:rsidRPr="00D84F73" w:rsidRDefault="007F63E3">
          <w:pPr>
            <w:rPr>
              <w:color w:val="4F81BD"/>
              <w:sz w:val="22"/>
              <w:szCs w:val="22"/>
            </w:rPr>
          </w:pPr>
        </w:p>
      </w:tc>
      <w:tc>
        <w:tcPr>
          <w:tcW w:w="2278"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r>
  </w:tbl>
  <w:p w:rsidR="007F63E3" w:rsidRDefault="007F63E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223"/>
      <w:gridCol w:w="3038"/>
      <w:gridCol w:w="3019"/>
    </w:tblGrid>
    <w:tr w:rsidR="00D84F73" w:rsidRPr="00D84F73" w:rsidTr="001C3C34">
      <w:trPr>
        <w:trHeight w:val="1080"/>
      </w:trPr>
      <w:tc>
        <w:tcPr>
          <w:tcW w:w="2093"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c>
        <w:tcPr>
          <w:tcW w:w="924" w:type="pct"/>
          <w:vMerge w:val="restart"/>
          <w:noWrap/>
          <w:vAlign w:val="center"/>
          <w:hideMark/>
        </w:tcPr>
        <w:p w:rsidR="007F63E3" w:rsidRPr="00DC6499" w:rsidRDefault="00DC6499" w:rsidP="0099135A">
          <w:pPr>
            <w:pStyle w:val="MittleresRaster21"/>
            <w:rPr>
              <w:rFonts w:ascii="Cambria" w:hAnsi="Cambria"/>
              <w:color w:val="4F81BD"/>
            </w:rPr>
          </w:pPr>
          <w:r>
            <w:rPr>
              <w:rFonts w:ascii="Cambria" w:hAnsi="Cambria"/>
              <w:color w:val="4F81BD"/>
            </w:rPr>
            <w:t>Unterrichtsideen zu Volumina</w:t>
          </w:r>
        </w:p>
      </w:tc>
      <w:tc>
        <w:tcPr>
          <w:tcW w:w="1983"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r>
    <w:tr w:rsidR="00D84F73" w:rsidRPr="00D84F73" w:rsidTr="001C3C34">
      <w:trPr>
        <w:trHeight w:val="472"/>
      </w:trPr>
      <w:tc>
        <w:tcPr>
          <w:tcW w:w="2093"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c>
        <w:tcPr>
          <w:tcW w:w="0" w:type="auto"/>
          <w:vMerge/>
          <w:vAlign w:val="center"/>
          <w:hideMark/>
        </w:tcPr>
        <w:p w:rsidR="007F63E3" w:rsidRPr="00D84F73" w:rsidRDefault="007F63E3">
          <w:pPr>
            <w:rPr>
              <w:color w:val="4F81BD"/>
              <w:sz w:val="22"/>
              <w:szCs w:val="22"/>
            </w:rPr>
          </w:pPr>
        </w:p>
      </w:tc>
      <w:tc>
        <w:tcPr>
          <w:tcW w:w="1983"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r>
  </w:tbl>
  <w:p w:rsidR="007F63E3" w:rsidRDefault="001C3C34">
    <w:pPr>
      <w:pStyle w:val="Kopfzeile"/>
    </w:pPr>
    <w:r>
      <w:rPr>
        <w:noProof/>
      </w:rPr>
      <w:drawing>
        <wp:anchor distT="0" distB="0" distL="114300" distR="114300" simplePos="0" relativeHeight="251659264" behindDoc="1" locked="0" layoutInCell="1" allowOverlap="1" wp14:anchorId="74DBAA32" wp14:editId="2A1D3B59">
          <wp:simplePos x="0" y="0"/>
          <wp:positionH relativeFrom="column">
            <wp:posOffset>-576580</wp:posOffset>
          </wp:positionH>
          <wp:positionV relativeFrom="paragraph">
            <wp:posOffset>-130175</wp:posOffset>
          </wp:positionV>
          <wp:extent cx="1819275" cy="209550"/>
          <wp:effectExtent l="0" t="0" r="9525" b="0"/>
          <wp:wrapTight wrapText="bothSides">
            <wp:wrapPolygon edited="0">
              <wp:start x="8595" y="0"/>
              <wp:lineTo x="0" y="0"/>
              <wp:lineTo x="0" y="19636"/>
              <wp:lineTo x="21487" y="19636"/>
              <wp:lineTo x="21487" y="0"/>
              <wp:lineTo x="10630" y="0"/>
              <wp:lineTo x="8595"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13DD"/>
    <w:multiLevelType w:val="hybridMultilevel"/>
    <w:tmpl w:val="CE763D94"/>
    <w:lvl w:ilvl="0" w:tplc="5A5A8B0C">
      <w:start w:val="4"/>
      <w:numFmt w:val="bullet"/>
      <w:lvlText w:val="-"/>
      <w:lvlJc w:val="left"/>
      <w:pPr>
        <w:ind w:left="720" w:hanging="360"/>
      </w:pPr>
      <w:rPr>
        <w:rFonts w:ascii="Cambria" w:eastAsia="MS Mincho"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7EF09BA"/>
    <w:multiLevelType w:val="hybridMultilevel"/>
    <w:tmpl w:val="97481E9C"/>
    <w:lvl w:ilvl="0" w:tplc="5A5A8B0C">
      <w:start w:val="4"/>
      <w:numFmt w:val="bullet"/>
      <w:lvlText w:val="-"/>
      <w:lvlJc w:val="left"/>
      <w:pPr>
        <w:ind w:left="720" w:hanging="360"/>
      </w:pPr>
      <w:rPr>
        <w:rFonts w:ascii="Cambria" w:eastAsia="MS Mincho"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2761908"/>
    <w:multiLevelType w:val="hybridMultilevel"/>
    <w:tmpl w:val="1054B5F8"/>
    <w:lvl w:ilvl="0" w:tplc="5A5A8B0C">
      <w:start w:val="4"/>
      <w:numFmt w:val="bullet"/>
      <w:lvlText w:val="-"/>
      <w:lvlJc w:val="left"/>
      <w:pPr>
        <w:ind w:left="720" w:hanging="360"/>
      </w:pPr>
      <w:rPr>
        <w:rFonts w:ascii="Cambria" w:eastAsia="MS Mincho"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412"/>
    <w:rsid w:val="00022412"/>
    <w:rsid w:val="000332CD"/>
    <w:rsid w:val="00072A93"/>
    <w:rsid w:val="000C2CDA"/>
    <w:rsid w:val="000F3D8E"/>
    <w:rsid w:val="00132BFB"/>
    <w:rsid w:val="001C3C34"/>
    <w:rsid w:val="00226CEC"/>
    <w:rsid w:val="00266382"/>
    <w:rsid w:val="0031635E"/>
    <w:rsid w:val="00386D60"/>
    <w:rsid w:val="003F0584"/>
    <w:rsid w:val="003F7326"/>
    <w:rsid w:val="005D5D8B"/>
    <w:rsid w:val="00642891"/>
    <w:rsid w:val="0074048E"/>
    <w:rsid w:val="007858A5"/>
    <w:rsid w:val="00787896"/>
    <w:rsid w:val="007C1E86"/>
    <w:rsid w:val="007F63E3"/>
    <w:rsid w:val="00830CAD"/>
    <w:rsid w:val="008D1BF8"/>
    <w:rsid w:val="00957FD5"/>
    <w:rsid w:val="0099135A"/>
    <w:rsid w:val="009923A6"/>
    <w:rsid w:val="009F4D7B"/>
    <w:rsid w:val="009F58FA"/>
    <w:rsid w:val="00A36C7B"/>
    <w:rsid w:val="00A72E85"/>
    <w:rsid w:val="00B272D2"/>
    <w:rsid w:val="00B50DE1"/>
    <w:rsid w:val="00BA2B8D"/>
    <w:rsid w:val="00BC7EC9"/>
    <w:rsid w:val="00C04656"/>
    <w:rsid w:val="00D32FAA"/>
    <w:rsid w:val="00D533BE"/>
    <w:rsid w:val="00D81DA8"/>
    <w:rsid w:val="00D84F73"/>
    <w:rsid w:val="00DC6499"/>
    <w:rsid w:val="00F155FA"/>
    <w:rsid w:val="00FC601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A7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72"/>
    <w:qFormat/>
    <w:rsid w:val="00A72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A7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72"/>
    <w:qFormat/>
    <w:rsid w:val="00A72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public:30%20Produktion:P02%20Grundschule:GS%20Mathematik:GS_Mathe_34:04_GS_Mathe_34_Zeichnungen:gsm34_zeichnung2.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public:30%20Produktion:P02%20Grundschule:GS%20Mathematik:GS_Mathe_34:04_GS_Mathe_34_Zeichnungen:gsm34_zeichnung1.jp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primakom.dzlm.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zi\AppData\Local\Temp\Primako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DCB71-D2C1-451C-9075-D7D3344B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Primakom.dotx</Template>
  <TotalTime>0</TotalTime>
  <Pages>4</Pages>
  <Words>490</Words>
  <Characters>3091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TU Dortmund</Company>
  <LinksUpToDate>false</LinksUpToDate>
  <CharactersWithSpaces>3574</CharactersWithSpaces>
  <SharedDoc>false</SharedDoc>
  <HLinks>
    <vt:vector size="6" baseType="variant">
      <vt:variant>
        <vt:i4>6357075</vt:i4>
      </vt:variant>
      <vt:variant>
        <vt:i4>0</vt:i4>
      </vt:variant>
      <vt:variant>
        <vt:i4>0</vt:i4>
      </vt:variant>
      <vt:variant>
        <vt:i4>5</vt:i4>
      </vt:variant>
      <vt:variant>
        <vt:lpwstr>http://primakom.dzlm.de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dc:creator>
  <cp:lastModifiedBy>Franzi</cp:lastModifiedBy>
  <cp:revision>11</cp:revision>
  <dcterms:created xsi:type="dcterms:W3CDTF">2014-10-14T19:39:00Z</dcterms:created>
  <dcterms:modified xsi:type="dcterms:W3CDTF">2014-10-30T06:57:00Z</dcterms:modified>
</cp:coreProperties>
</file>